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75" w:rsidRDefault="000A3ECA">
      <w:r>
        <w:rPr>
          <w:rFonts w:ascii="Times New Roman" w:eastAsia="Times New Roman" w:hAnsi="Times New Roman" w:cs="Times New Roman"/>
          <w:b/>
          <w:bCs/>
          <w:noProof/>
          <w:kern w:val="36"/>
          <w:sz w:val="48"/>
          <w:szCs w:val="48"/>
        </w:rPr>
        <w:drawing>
          <wp:inline distT="0" distB="0" distL="0" distR="0" wp14:anchorId="46CB913B" wp14:editId="0A8F5942">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0A3ECA" w:rsidRDefault="000A3ECA">
      <w:pPr>
        <w:rPr>
          <w:rStyle w:val="subheading1"/>
          <w:color w:val="auto"/>
        </w:rPr>
      </w:pPr>
      <w:r w:rsidRPr="00125451">
        <w:rPr>
          <w:rStyle w:val="heading10"/>
          <w:color w:val="auto"/>
          <w:sz w:val="48"/>
          <w:szCs w:val="48"/>
        </w:rPr>
        <w:t>#4 Settlement Policies and Procedures</w:t>
      </w:r>
      <w:r w:rsidRPr="00125451">
        <w:br/>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480"/>
        <w:gridCol w:w="2880"/>
      </w:tblGrid>
      <w:tr w:rsidR="00FF4B2E" w:rsidRPr="00E461B3" w:rsidTr="00FF4B2E">
        <w:trPr>
          <w:cantSplit/>
          <w:trHeight w:val="597"/>
          <w:tblHeader/>
        </w:trPr>
        <w:tc>
          <w:tcPr>
            <w:tcW w:w="1548" w:type="dxa"/>
            <w:shd w:val="clear" w:color="auto" w:fill="8DB3E2"/>
            <w:vAlign w:val="center"/>
          </w:tcPr>
          <w:p w:rsidR="00FF4B2E" w:rsidRPr="00E461B3" w:rsidRDefault="00FF4B2E" w:rsidP="00C62772">
            <w:pPr>
              <w:spacing w:after="0"/>
              <w:jc w:val="center"/>
              <w:rPr>
                <w:rFonts w:ascii="Arial" w:hAnsi="Arial" w:cs="Arial"/>
                <w:b/>
              </w:rPr>
            </w:pPr>
            <w:r w:rsidRPr="00E461B3">
              <w:rPr>
                <w:rFonts w:ascii="Arial" w:hAnsi="Arial" w:cs="Arial"/>
                <w:b/>
              </w:rPr>
              <w:t>Assessment</w:t>
            </w:r>
          </w:p>
          <w:p w:rsidR="00FF4B2E" w:rsidRPr="00E461B3" w:rsidRDefault="00FF4B2E" w:rsidP="00C62772">
            <w:pPr>
              <w:spacing w:after="0"/>
              <w:jc w:val="center"/>
              <w:rPr>
                <w:rFonts w:ascii="Arial" w:hAnsi="Arial" w:cs="Arial"/>
                <w:b/>
              </w:rPr>
            </w:pPr>
            <w:r w:rsidRPr="00E461B3">
              <w:rPr>
                <w:rFonts w:ascii="Arial" w:hAnsi="Arial" w:cs="Arial"/>
                <w:b/>
              </w:rPr>
              <w:t>Procedure</w:t>
            </w:r>
          </w:p>
          <w:p w:rsidR="00FF4B2E" w:rsidRPr="00E461B3" w:rsidRDefault="00FF4B2E" w:rsidP="00C62772">
            <w:pPr>
              <w:spacing w:after="0"/>
              <w:jc w:val="center"/>
              <w:rPr>
                <w:rFonts w:ascii="Arial" w:hAnsi="Arial" w:cs="Arial"/>
                <w:b/>
              </w:rPr>
            </w:pPr>
            <w:r w:rsidRPr="00E461B3">
              <w:rPr>
                <w:rFonts w:ascii="Arial" w:hAnsi="Arial" w:cs="Arial"/>
                <w:b/>
              </w:rPr>
              <w:t>Number</w:t>
            </w:r>
          </w:p>
        </w:tc>
        <w:tc>
          <w:tcPr>
            <w:tcW w:w="6480" w:type="dxa"/>
            <w:shd w:val="clear" w:color="auto" w:fill="8DB3E2"/>
            <w:vAlign w:val="center"/>
          </w:tcPr>
          <w:p w:rsidR="00FF4B2E" w:rsidRPr="00E461B3" w:rsidRDefault="00FF4B2E" w:rsidP="00C62772">
            <w:pPr>
              <w:rPr>
                <w:rFonts w:ascii="Arial" w:hAnsi="Arial" w:cs="Arial"/>
              </w:rPr>
            </w:pPr>
            <w:r w:rsidRPr="00E461B3">
              <w:rPr>
                <w:rFonts w:ascii="Arial" w:hAnsi="Arial" w:cs="Arial"/>
                <w:b/>
                <w:bCs/>
              </w:rPr>
              <w:t>ALTA Best Practices Framework: Assessment Procedures</w:t>
            </w:r>
          </w:p>
        </w:tc>
        <w:tc>
          <w:tcPr>
            <w:tcW w:w="2880" w:type="dxa"/>
            <w:shd w:val="clear" w:color="auto" w:fill="8DB3E2"/>
            <w:vAlign w:val="center"/>
          </w:tcPr>
          <w:p w:rsidR="00FF4B2E" w:rsidRPr="00E461B3" w:rsidRDefault="00FF4B2E" w:rsidP="00C62772">
            <w:pPr>
              <w:pStyle w:val="columnhead"/>
              <w:spacing w:before="120" w:after="120"/>
              <w:rPr>
                <w:rFonts w:cs="Arial"/>
                <w:bCs/>
              </w:rPr>
            </w:pPr>
            <w:r w:rsidRPr="00E461B3">
              <w:rPr>
                <w:rFonts w:cs="Arial"/>
                <w:bCs/>
              </w:rPr>
              <w:t>Assessment Recap</w:t>
            </w:r>
          </w:p>
        </w:tc>
      </w:tr>
      <w:tr w:rsidR="00FF4B2E" w:rsidRPr="00E461B3" w:rsidTr="00FF4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rPr>
                <w:rFonts w:ascii="Arial" w:hAnsi="Arial" w:cs="Arial"/>
                <w:b/>
              </w:rPr>
            </w:pPr>
            <w:bookmarkStart w:id="0" w:name="ASSTBP4"/>
            <w:r>
              <w:rPr>
                <w:rFonts w:ascii="Arial" w:hAnsi="Arial" w:cs="Arial"/>
                <w:b/>
              </w:rPr>
              <w:t xml:space="preserve">ALTA </w:t>
            </w:r>
            <w:r w:rsidRPr="00E461B3">
              <w:rPr>
                <w:rFonts w:ascii="Arial" w:hAnsi="Arial" w:cs="Arial"/>
                <w:b/>
              </w:rPr>
              <w:t>Best Practice 4</w:t>
            </w:r>
          </w:p>
          <w:bookmarkEnd w:id="0"/>
          <w:p w:rsidR="00FF4B2E" w:rsidRPr="00FF4B2E" w:rsidRDefault="00FF4B2E" w:rsidP="00C62772">
            <w:pPr>
              <w:rPr>
                <w:rFonts w:ascii="Arial" w:hAnsi="Arial" w:cs="Arial"/>
                <w:b/>
                <w:bCs/>
                <w:iCs/>
              </w:rPr>
            </w:pPr>
            <w:r w:rsidRPr="00E461B3">
              <w:rPr>
                <w:rFonts w:ascii="Arial" w:hAnsi="Arial" w:cs="Arial"/>
                <w:b/>
              </w:rPr>
              <w:t>Adopt standard real estate settlement procedures and policies that</w:t>
            </w:r>
            <w:r>
              <w:rPr>
                <w:rFonts w:ascii="Arial" w:hAnsi="Arial" w:cs="Arial"/>
                <w:b/>
              </w:rPr>
              <w:t xml:space="preserve"> help</w:t>
            </w:r>
            <w:r w:rsidRPr="00E461B3">
              <w:rPr>
                <w:rFonts w:ascii="Arial" w:hAnsi="Arial" w:cs="Arial"/>
                <w:b/>
              </w:rPr>
              <w:t xml:space="preserve"> ensure compliance with Federal and State Consume</w:t>
            </w:r>
            <w:r>
              <w:rPr>
                <w:rFonts w:ascii="Arial" w:hAnsi="Arial" w:cs="Arial"/>
                <w:b/>
              </w:rPr>
              <w:t>r Financial Laws as applicable to the Settlement process.</w:t>
            </w:r>
          </w:p>
        </w:tc>
        <w:tc>
          <w:tcPr>
            <w:tcW w:w="2880"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4 FAILS.</w:t>
            </w:r>
            <w:r w:rsidRPr="00E461B3">
              <w:rPr>
                <w:rFonts w:ascii="Arial" w:hAnsi="Arial" w:cs="Arial"/>
                <w:b/>
                <w:i/>
              </w:rPr>
              <w:t xml:space="preserve">  </w:t>
            </w:r>
          </w:p>
        </w:tc>
      </w:tr>
      <w:tr w:rsidR="00FF4B2E" w:rsidRPr="00E461B3" w:rsidTr="00FF4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rPr>
                <w:rFonts w:ascii="Arial" w:hAnsi="Arial" w:cs="Arial"/>
              </w:rPr>
            </w:pPr>
            <w:r w:rsidRPr="00E461B3">
              <w:rPr>
                <w:rFonts w:ascii="Arial" w:hAnsi="Arial" w:cs="Arial"/>
              </w:rPr>
              <w:t>4.</w:t>
            </w:r>
            <w:r>
              <w:rPr>
                <w:rFonts w:ascii="Arial" w:hAnsi="Arial" w:cs="Arial"/>
              </w:rPr>
              <w:t>0</w:t>
            </w:r>
            <w:r w:rsidRPr="00E461B3">
              <w:rPr>
                <w:rFonts w:ascii="Arial" w:hAnsi="Arial" w:cs="Arial"/>
              </w:rPr>
              <w:t>1*</w:t>
            </w:r>
          </w:p>
        </w:tc>
        <w:tc>
          <w:tcPr>
            <w:tcW w:w="6480"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autoSpaceDE w:val="0"/>
              <w:autoSpaceDN w:val="0"/>
              <w:adjustRightInd w:val="0"/>
              <w:rPr>
                <w:rFonts w:ascii="Arial" w:hAnsi="Arial" w:cs="Arial"/>
              </w:rPr>
            </w:pPr>
            <w:r w:rsidRPr="00E461B3">
              <w:rPr>
                <w:rFonts w:ascii="Arial" w:hAnsi="Arial" w:cs="Arial"/>
              </w:rPr>
              <w:t xml:space="preserve">Obtain and/or document Company’s written procedures to maintain compliance with established rates and legal and contractual requirements for recording documents.  </w:t>
            </w:r>
          </w:p>
        </w:tc>
        <w:tc>
          <w:tcPr>
            <w:tcW w:w="2880" w:type="dxa"/>
            <w:tcBorders>
              <w:top w:val="single" w:sz="4" w:space="0" w:color="auto"/>
              <w:left w:val="single" w:sz="4" w:space="0" w:color="auto"/>
              <w:bottom w:val="single" w:sz="4" w:space="0" w:color="auto"/>
              <w:right w:val="single" w:sz="4" w:space="0" w:color="auto"/>
            </w:tcBorders>
          </w:tcPr>
          <w:p w:rsidR="00FF4B2E" w:rsidRPr="00E461B3" w:rsidRDefault="00FF4B2E" w:rsidP="00C62772">
            <w:pPr>
              <w:jc w:val="center"/>
              <w:rPr>
                <w:rFonts w:ascii="Arial" w:hAnsi="Arial" w:cs="Arial"/>
              </w:rPr>
            </w:pPr>
            <w:r w:rsidRPr="00E461B3">
              <w:rPr>
                <w:rFonts w:ascii="Arial" w:hAnsi="Arial" w:cs="Arial"/>
              </w:rPr>
              <w:t>PASS / FAIL / NA</w:t>
            </w:r>
          </w:p>
          <w:p w:rsidR="00FF4B2E" w:rsidRPr="00E461B3" w:rsidRDefault="00FF4B2E" w:rsidP="00C62772">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1 FAILS.</w:t>
            </w:r>
          </w:p>
        </w:tc>
      </w:tr>
      <w:tr w:rsidR="00FF4B2E" w:rsidRPr="00E461B3" w:rsidTr="00FF4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top w:val="single" w:sz="4" w:space="0" w:color="auto"/>
            </w:tcBorders>
          </w:tcPr>
          <w:p w:rsidR="00FF4B2E" w:rsidRPr="00E461B3" w:rsidRDefault="00FF4B2E" w:rsidP="00C62772">
            <w:pPr>
              <w:rPr>
                <w:rFonts w:ascii="Arial" w:hAnsi="Arial" w:cs="Arial"/>
              </w:rPr>
            </w:pPr>
            <w:r w:rsidRPr="00E461B3">
              <w:rPr>
                <w:rFonts w:ascii="Arial" w:hAnsi="Arial" w:cs="Arial"/>
              </w:rPr>
              <w:t>Sample Selection</w:t>
            </w:r>
          </w:p>
          <w:p w:rsidR="00FF4B2E" w:rsidRPr="00E461B3" w:rsidRDefault="00FF4B2E" w:rsidP="00C62772">
            <w:pPr>
              <w:rPr>
                <w:rFonts w:ascii="Arial" w:hAnsi="Arial" w:cs="Arial"/>
              </w:rPr>
            </w:pPr>
            <w:r w:rsidRPr="00E461B3">
              <w:rPr>
                <w:rFonts w:ascii="Arial" w:hAnsi="Arial" w:cs="Arial"/>
              </w:rPr>
              <w:t>Instructions for</w:t>
            </w:r>
          </w:p>
          <w:p w:rsidR="00FF4B2E" w:rsidRPr="00E461B3" w:rsidRDefault="00FF4B2E" w:rsidP="00C62772">
            <w:pPr>
              <w:rPr>
                <w:rFonts w:ascii="Arial" w:hAnsi="Arial" w:cs="Arial"/>
              </w:rPr>
            </w:pPr>
            <w:r w:rsidRPr="00E461B3">
              <w:rPr>
                <w:rFonts w:ascii="Arial" w:hAnsi="Arial" w:cs="Arial"/>
              </w:rPr>
              <w:t xml:space="preserve">Next </w:t>
            </w:r>
            <w:r>
              <w:rPr>
                <w:rFonts w:ascii="Arial" w:hAnsi="Arial" w:cs="Arial"/>
              </w:rPr>
              <w:t>Two</w:t>
            </w:r>
            <w:r w:rsidRPr="00E461B3">
              <w:rPr>
                <w:rFonts w:ascii="Arial" w:hAnsi="Arial" w:cs="Arial"/>
              </w:rPr>
              <w:t xml:space="preserve"> Assessment Procedures</w:t>
            </w:r>
          </w:p>
        </w:tc>
        <w:tc>
          <w:tcPr>
            <w:tcW w:w="6480" w:type="dxa"/>
            <w:tcBorders>
              <w:top w:val="single" w:sz="4" w:space="0" w:color="auto"/>
            </w:tcBorders>
          </w:tcPr>
          <w:p w:rsidR="00FF4B2E" w:rsidRPr="00E461B3" w:rsidRDefault="00FF4B2E" w:rsidP="00C62772">
            <w:pPr>
              <w:autoSpaceDE w:val="0"/>
              <w:autoSpaceDN w:val="0"/>
              <w:adjustRightInd w:val="0"/>
              <w:rPr>
                <w:rFonts w:ascii="Arial" w:hAnsi="Arial" w:cs="Arial"/>
              </w:rPr>
            </w:pPr>
            <w:r w:rsidRPr="00E461B3">
              <w:rPr>
                <w:rFonts w:ascii="Arial" w:hAnsi="Arial" w:cs="Arial"/>
              </w:rPr>
              <w:t>Sample Sel</w:t>
            </w:r>
            <w:r>
              <w:rPr>
                <w:rFonts w:ascii="Arial" w:hAnsi="Arial" w:cs="Arial"/>
              </w:rPr>
              <w:t>ection for Assessment Procedure</w:t>
            </w:r>
            <w:r w:rsidRPr="00E461B3">
              <w:rPr>
                <w:rFonts w:ascii="Arial" w:hAnsi="Arial" w:cs="Arial"/>
              </w:rPr>
              <w:t>s 4.</w:t>
            </w:r>
            <w:r>
              <w:rPr>
                <w:rFonts w:ascii="Arial" w:hAnsi="Arial" w:cs="Arial"/>
              </w:rPr>
              <w:t>0</w:t>
            </w:r>
            <w:r w:rsidRPr="00E461B3">
              <w:rPr>
                <w:rFonts w:ascii="Arial" w:hAnsi="Arial" w:cs="Arial"/>
              </w:rPr>
              <w:t>2 and 4.</w:t>
            </w:r>
            <w:r>
              <w:rPr>
                <w:rFonts w:ascii="Arial" w:hAnsi="Arial" w:cs="Arial"/>
              </w:rPr>
              <w:t>0</w:t>
            </w:r>
            <w:r w:rsidRPr="00E461B3">
              <w:rPr>
                <w:rFonts w:ascii="Arial" w:hAnsi="Arial" w:cs="Arial"/>
              </w:rPr>
              <w:t xml:space="preserve">3:  </w:t>
            </w:r>
          </w:p>
          <w:p w:rsidR="00FF4B2E" w:rsidRPr="00E461B3" w:rsidRDefault="00FF4B2E" w:rsidP="00C62772">
            <w:pPr>
              <w:autoSpaceDE w:val="0"/>
              <w:autoSpaceDN w:val="0"/>
              <w:adjustRightInd w:val="0"/>
              <w:rPr>
                <w:rFonts w:ascii="Arial" w:hAnsi="Arial" w:cs="Arial"/>
              </w:rPr>
            </w:pPr>
            <w:r w:rsidRPr="00E461B3">
              <w:rPr>
                <w:rFonts w:ascii="Arial" w:hAnsi="Arial" w:cs="Arial"/>
              </w:rPr>
              <w:t>Based on Company’s process (centralized versus decentralized), select sample as follows:</w:t>
            </w:r>
          </w:p>
          <w:p w:rsidR="00FF4B2E" w:rsidRDefault="00FF4B2E" w:rsidP="00FF4B2E">
            <w:pPr>
              <w:autoSpaceDE w:val="0"/>
              <w:autoSpaceDN w:val="0"/>
              <w:adjustRightInd w:val="0"/>
              <w:rPr>
                <w:rFonts w:ascii="Arial" w:hAnsi="Arial" w:cs="Arial"/>
              </w:rPr>
            </w:pPr>
            <w:r w:rsidRPr="00E461B3">
              <w:rPr>
                <w:rFonts w:ascii="Arial" w:hAnsi="Arial" w:cs="Arial"/>
              </w:rPr>
              <w:t>Centralized:</w:t>
            </w:r>
          </w:p>
          <w:p w:rsidR="00FF4B2E" w:rsidRPr="00E461B3" w:rsidRDefault="00FF4B2E" w:rsidP="00FF4B2E">
            <w:pPr>
              <w:autoSpaceDE w:val="0"/>
              <w:autoSpaceDN w:val="0"/>
              <w:adjustRightInd w:val="0"/>
              <w:rPr>
                <w:rFonts w:ascii="Arial" w:hAnsi="Arial" w:cs="Arial"/>
              </w:rPr>
            </w:pPr>
            <w:r w:rsidRPr="00E461B3">
              <w:rPr>
                <w:rFonts w:ascii="Arial" w:hAnsi="Arial" w:cs="Arial"/>
              </w:rPr>
              <w:t xml:space="preserve">25 files or 100% of last 3 months of closed files, whichever is less.  </w:t>
            </w:r>
          </w:p>
          <w:p w:rsidR="00FF4B2E" w:rsidRDefault="00FF4B2E" w:rsidP="00FF4B2E">
            <w:pPr>
              <w:autoSpaceDE w:val="0"/>
              <w:autoSpaceDN w:val="0"/>
              <w:adjustRightInd w:val="0"/>
              <w:rPr>
                <w:rFonts w:ascii="Arial" w:hAnsi="Arial" w:cs="Arial"/>
              </w:rPr>
            </w:pPr>
            <w:r w:rsidRPr="00E461B3">
              <w:rPr>
                <w:rFonts w:ascii="Arial" w:hAnsi="Arial" w:cs="Arial"/>
              </w:rPr>
              <w:t>Decentralized:</w:t>
            </w:r>
          </w:p>
          <w:p w:rsidR="00FF4B2E" w:rsidRPr="00E461B3" w:rsidRDefault="00FF4B2E" w:rsidP="00FF4B2E">
            <w:pPr>
              <w:autoSpaceDE w:val="0"/>
              <w:autoSpaceDN w:val="0"/>
              <w:adjustRightInd w:val="0"/>
              <w:rPr>
                <w:rFonts w:ascii="Arial" w:hAnsi="Arial" w:cs="Arial"/>
              </w:rPr>
            </w:pPr>
            <w:bookmarkStart w:id="1" w:name="_GoBack"/>
            <w:bookmarkEnd w:id="1"/>
            <w:r>
              <w:rPr>
                <w:rFonts w:ascii="Arial" w:hAnsi="Arial" w:cs="Arial"/>
              </w:rPr>
              <w:t xml:space="preserve">At least </w:t>
            </w:r>
            <w:r w:rsidRPr="00E461B3">
              <w:rPr>
                <w:rFonts w:ascii="Arial" w:hAnsi="Arial" w:cs="Arial"/>
              </w:rPr>
              <w:t xml:space="preserve">1 </w:t>
            </w:r>
            <w:proofErr w:type="gramStart"/>
            <w:r w:rsidRPr="00E461B3">
              <w:rPr>
                <w:rFonts w:ascii="Arial" w:hAnsi="Arial" w:cs="Arial"/>
              </w:rPr>
              <w:t>file</w:t>
            </w:r>
            <w:proofErr w:type="gramEnd"/>
            <w:r w:rsidRPr="00E461B3">
              <w:rPr>
                <w:rFonts w:ascii="Arial" w:hAnsi="Arial" w:cs="Arial"/>
              </w:rPr>
              <w:t xml:space="preserve"> per state in which Company writes</w:t>
            </w:r>
            <w:r>
              <w:rPr>
                <w:rFonts w:ascii="Arial" w:hAnsi="Arial" w:cs="Arial"/>
              </w:rPr>
              <w:t xml:space="preserve"> (a minimum of </w:t>
            </w:r>
            <w:r w:rsidRPr="00E461B3">
              <w:rPr>
                <w:rFonts w:ascii="Arial" w:hAnsi="Arial" w:cs="Arial"/>
              </w:rPr>
              <w:t>25 files</w:t>
            </w:r>
            <w:r>
              <w:rPr>
                <w:rFonts w:ascii="Arial" w:hAnsi="Arial" w:cs="Arial"/>
              </w:rPr>
              <w:t xml:space="preserve"> in total)</w:t>
            </w:r>
            <w:r w:rsidRPr="00E461B3">
              <w:rPr>
                <w:rFonts w:ascii="Arial" w:hAnsi="Arial" w:cs="Arial"/>
              </w:rPr>
              <w:t xml:space="preserve"> or 100% of last 3 months of closed files, whichever is less.  </w:t>
            </w:r>
          </w:p>
        </w:tc>
        <w:tc>
          <w:tcPr>
            <w:tcW w:w="2880" w:type="dxa"/>
            <w:tcBorders>
              <w:top w:val="single" w:sz="4" w:space="0" w:color="auto"/>
            </w:tcBorders>
            <w:vAlign w:val="center"/>
          </w:tcPr>
          <w:p w:rsidR="00FF4B2E" w:rsidRPr="00E461B3" w:rsidRDefault="00FF4B2E" w:rsidP="00C62772">
            <w:pPr>
              <w:rPr>
                <w:rFonts w:ascii="Arial" w:hAnsi="Arial" w:cs="Arial"/>
              </w:rPr>
            </w:pPr>
          </w:p>
        </w:tc>
      </w:tr>
      <w:tr w:rsidR="00FF4B2E" w:rsidRPr="00E461B3" w:rsidTr="00FF4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FF4B2E" w:rsidRPr="00E461B3" w:rsidRDefault="00FF4B2E" w:rsidP="00C62772">
            <w:pPr>
              <w:rPr>
                <w:rFonts w:ascii="Arial" w:hAnsi="Arial" w:cs="Arial"/>
              </w:rPr>
            </w:pPr>
            <w:r w:rsidRPr="00E461B3">
              <w:rPr>
                <w:rFonts w:ascii="Arial" w:hAnsi="Arial" w:cs="Arial"/>
              </w:rPr>
              <w:lastRenderedPageBreak/>
              <w:t>4.</w:t>
            </w:r>
            <w:r>
              <w:rPr>
                <w:rFonts w:ascii="Arial" w:hAnsi="Arial" w:cs="Arial"/>
              </w:rPr>
              <w:t>0</w:t>
            </w:r>
            <w:r w:rsidRPr="00E461B3">
              <w:rPr>
                <w:rFonts w:ascii="Arial" w:hAnsi="Arial" w:cs="Arial"/>
              </w:rPr>
              <w:t>2*</w:t>
            </w:r>
          </w:p>
        </w:tc>
        <w:tc>
          <w:tcPr>
            <w:tcW w:w="6480" w:type="dxa"/>
          </w:tcPr>
          <w:p w:rsidR="00FF4B2E" w:rsidRPr="00E461B3" w:rsidRDefault="00FF4B2E" w:rsidP="00C62772">
            <w:pPr>
              <w:autoSpaceDE w:val="0"/>
              <w:autoSpaceDN w:val="0"/>
              <w:adjustRightInd w:val="0"/>
              <w:rPr>
                <w:rFonts w:ascii="Arial" w:hAnsi="Arial" w:cs="Arial"/>
              </w:rPr>
            </w:pPr>
            <w:r w:rsidRPr="00E461B3">
              <w:rPr>
                <w:rFonts w:ascii="Arial" w:hAnsi="Arial" w:cs="Arial"/>
              </w:rPr>
              <w:t>For sample selected as noted above</w:t>
            </w:r>
            <w:r>
              <w:rPr>
                <w:rFonts w:ascii="Arial" w:hAnsi="Arial" w:cs="Arial"/>
              </w:rPr>
              <w:t xml:space="preserve">, </w:t>
            </w:r>
            <w:r w:rsidRPr="00E461B3">
              <w:rPr>
                <w:rFonts w:ascii="Arial" w:hAnsi="Arial" w:cs="Arial"/>
              </w:rPr>
              <w:t xml:space="preserve">confirm the following:  </w:t>
            </w:r>
          </w:p>
          <w:p w:rsidR="00FF4B2E" w:rsidRPr="00E461B3" w:rsidRDefault="00FF4B2E" w:rsidP="00FF4B2E">
            <w:pPr>
              <w:numPr>
                <w:ilvl w:val="0"/>
                <w:numId w:val="9"/>
              </w:numPr>
              <w:autoSpaceDE w:val="0"/>
              <w:autoSpaceDN w:val="0"/>
              <w:adjustRightInd w:val="0"/>
              <w:spacing w:before="120" w:after="120" w:line="240" w:lineRule="auto"/>
              <w:rPr>
                <w:rFonts w:ascii="Arial" w:hAnsi="Arial" w:cs="Arial"/>
              </w:rPr>
            </w:pPr>
            <w:r w:rsidRPr="00E461B3">
              <w:rPr>
                <w:rFonts w:ascii="Arial" w:hAnsi="Arial" w:cs="Arial"/>
              </w:rPr>
              <w:t>Documents were submitted or shipped for recording to the county recorder (or equivalent) or the person or entity responsible for recording within two (2) business days of the later of (</w:t>
            </w:r>
            <w:proofErr w:type="spellStart"/>
            <w:r w:rsidRPr="00E461B3">
              <w:rPr>
                <w:rFonts w:ascii="Arial" w:hAnsi="Arial" w:cs="Arial"/>
              </w:rPr>
              <w:t>i</w:t>
            </w:r>
            <w:proofErr w:type="spellEnd"/>
            <w:r w:rsidRPr="00E461B3">
              <w:rPr>
                <w:rFonts w:ascii="Arial" w:hAnsi="Arial" w:cs="Arial"/>
              </w:rPr>
              <w:t xml:space="preserve">) date of Settlement, or (ii) receipt by the Company if Settlement is not performed by the Company.  Documents are tracked and recording information retained.  </w:t>
            </w:r>
          </w:p>
          <w:p w:rsidR="00FF4B2E" w:rsidRPr="00E461B3" w:rsidRDefault="00FF4B2E" w:rsidP="00FF4B2E">
            <w:pPr>
              <w:numPr>
                <w:ilvl w:val="0"/>
                <w:numId w:val="9"/>
              </w:numPr>
              <w:autoSpaceDE w:val="0"/>
              <w:autoSpaceDN w:val="0"/>
              <w:adjustRightInd w:val="0"/>
              <w:spacing w:before="120" w:after="120" w:line="240" w:lineRule="auto"/>
              <w:rPr>
                <w:rFonts w:ascii="Arial" w:hAnsi="Arial" w:cs="Arial"/>
              </w:rPr>
            </w:pPr>
            <w:r w:rsidRPr="00E461B3">
              <w:rPr>
                <w:rFonts w:ascii="Arial" w:hAnsi="Arial" w:cs="Arial"/>
              </w:rPr>
              <w:t xml:space="preserve">If recording was rejected, item was addressed within two (2) business days of receipt of the rejected documents.  Documents and corrective actions, including resubmission, are tracked.  In no instance should resubmission take more than 30 days.  </w:t>
            </w:r>
          </w:p>
        </w:tc>
        <w:tc>
          <w:tcPr>
            <w:tcW w:w="2880" w:type="dxa"/>
            <w:vAlign w:val="center"/>
          </w:tcPr>
          <w:p w:rsidR="00FF4B2E" w:rsidRPr="00E461B3" w:rsidRDefault="00FF4B2E" w:rsidP="00C62772">
            <w:pPr>
              <w:jc w:val="center"/>
              <w:rPr>
                <w:rFonts w:ascii="Arial" w:hAnsi="Arial" w:cs="Arial"/>
              </w:rPr>
            </w:pPr>
            <w:r w:rsidRPr="00E461B3">
              <w:rPr>
                <w:rFonts w:ascii="Arial" w:hAnsi="Arial" w:cs="Arial"/>
              </w:rPr>
              <w:t>PASS / FAIL</w:t>
            </w:r>
          </w:p>
          <w:p w:rsidR="00FF4B2E" w:rsidRPr="00E461B3" w:rsidRDefault="00FF4B2E" w:rsidP="00C62772">
            <w:pPr>
              <w:jc w:val="center"/>
              <w:rPr>
                <w:rFonts w:ascii="Arial" w:hAnsi="Arial" w:cs="Arial"/>
              </w:rPr>
            </w:pPr>
            <w:r w:rsidRPr="00E461B3">
              <w:rPr>
                <w:rFonts w:ascii="Arial" w:hAnsi="Arial" w:cs="Arial"/>
              </w:rPr>
              <w:t xml:space="preserve">If 25% or more of items tested for any sub-procedure FAIL or any one file takes more than 30 days to be submitted/shipped/resubmitted,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2 FAILS.</w:t>
            </w:r>
          </w:p>
          <w:p w:rsidR="00FF4B2E" w:rsidRPr="00E461B3" w:rsidRDefault="00FF4B2E" w:rsidP="00C62772">
            <w:pPr>
              <w:rPr>
                <w:rFonts w:ascii="Arial" w:hAnsi="Arial" w:cs="Arial"/>
              </w:rPr>
            </w:pPr>
          </w:p>
          <w:p w:rsidR="00FF4B2E" w:rsidRPr="00E461B3" w:rsidRDefault="00FF4B2E" w:rsidP="00C62772">
            <w:pPr>
              <w:rPr>
                <w:rFonts w:ascii="Arial" w:hAnsi="Arial" w:cs="Arial"/>
              </w:rPr>
            </w:pPr>
          </w:p>
        </w:tc>
      </w:tr>
      <w:tr w:rsidR="00FF4B2E" w:rsidRPr="00E461B3" w:rsidTr="00FF4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FF4B2E" w:rsidRPr="00E461B3" w:rsidRDefault="00FF4B2E" w:rsidP="00C62772">
            <w:pPr>
              <w:rPr>
                <w:rFonts w:ascii="Arial" w:hAnsi="Arial" w:cs="Arial"/>
              </w:rPr>
            </w:pPr>
            <w:r w:rsidRPr="00E461B3">
              <w:rPr>
                <w:rFonts w:ascii="Arial" w:hAnsi="Arial" w:cs="Arial"/>
              </w:rPr>
              <w:t>4.</w:t>
            </w:r>
            <w:r>
              <w:rPr>
                <w:rFonts w:ascii="Arial" w:hAnsi="Arial" w:cs="Arial"/>
              </w:rPr>
              <w:t>0</w:t>
            </w:r>
            <w:r w:rsidRPr="00E461B3">
              <w:rPr>
                <w:rFonts w:ascii="Arial" w:hAnsi="Arial" w:cs="Arial"/>
              </w:rPr>
              <w:t>3*</w:t>
            </w:r>
          </w:p>
        </w:tc>
        <w:tc>
          <w:tcPr>
            <w:tcW w:w="6480" w:type="dxa"/>
          </w:tcPr>
          <w:p w:rsidR="00FF4B2E" w:rsidRPr="00E461B3" w:rsidRDefault="00FF4B2E" w:rsidP="00C62772">
            <w:pPr>
              <w:autoSpaceDE w:val="0"/>
              <w:autoSpaceDN w:val="0"/>
              <w:adjustRightInd w:val="0"/>
              <w:rPr>
                <w:rFonts w:ascii="Arial" w:hAnsi="Arial" w:cs="Arial"/>
              </w:rPr>
            </w:pPr>
            <w:r w:rsidRPr="00E461B3">
              <w:rPr>
                <w:rFonts w:ascii="Arial" w:hAnsi="Arial" w:cs="Arial"/>
              </w:rPr>
              <w:t xml:space="preserve">For sample selected as noted above, perform the following:  </w:t>
            </w:r>
          </w:p>
          <w:p w:rsidR="00FF4B2E" w:rsidRPr="00E461B3" w:rsidRDefault="00FF4B2E" w:rsidP="00FF4B2E">
            <w:pPr>
              <w:numPr>
                <w:ilvl w:val="0"/>
                <w:numId w:val="10"/>
              </w:numPr>
              <w:autoSpaceDE w:val="0"/>
              <w:autoSpaceDN w:val="0"/>
              <w:adjustRightInd w:val="0"/>
              <w:spacing w:before="120" w:after="120" w:line="240" w:lineRule="auto"/>
              <w:rPr>
                <w:rFonts w:ascii="Arial" w:hAnsi="Arial" w:cs="Arial"/>
              </w:rPr>
            </w:pPr>
            <w:r w:rsidRPr="00E461B3">
              <w:rPr>
                <w:rFonts w:ascii="Arial" w:hAnsi="Arial" w:cs="Arial"/>
              </w:rPr>
              <w:t>Test compliance with current filed or promulgated rates, endorsements, and/or rates established by the Company’s title insurance underwriter(s) or rating bureau in each state, and where overpayments occurred, verify that refunds are issued upon discovery.</w:t>
            </w:r>
          </w:p>
          <w:p w:rsidR="00FF4B2E" w:rsidRPr="00E461B3" w:rsidRDefault="00FF4B2E" w:rsidP="00FF4B2E">
            <w:pPr>
              <w:numPr>
                <w:ilvl w:val="0"/>
                <w:numId w:val="10"/>
              </w:numPr>
              <w:autoSpaceDE w:val="0"/>
              <w:autoSpaceDN w:val="0"/>
              <w:adjustRightInd w:val="0"/>
              <w:spacing w:before="120" w:after="120" w:line="240" w:lineRule="auto"/>
              <w:rPr>
                <w:rFonts w:ascii="Arial" w:hAnsi="Arial" w:cs="Arial"/>
              </w:rPr>
            </w:pPr>
            <w:r w:rsidRPr="00E461B3">
              <w:rPr>
                <w:rFonts w:ascii="Arial" w:hAnsi="Arial" w:cs="Arial"/>
              </w:rPr>
              <w:t>Ensure discounted/reissue rates are calculated and charged when appropriate.</w:t>
            </w:r>
          </w:p>
          <w:p w:rsidR="00FF4B2E" w:rsidRPr="00E461B3" w:rsidRDefault="00FF4B2E" w:rsidP="00FF4B2E">
            <w:pPr>
              <w:numPr>
                <w:ilvl w:val="0"/>
                <w:numId w:val="10"/>
              </w:numPr>
              <w:autoSpaceDE w:val="0"/>
              <w:autoSpaceDN w:val="0"/>
              <w:adjustRightInd w:val="0"/>
              <w:spacing w:before="120" w:after="120" w:line="240" w:lineRule="auto"/>
              <w:rPr>
                <w:rFonts w:ascii="Arial" w:hAnsi="Arial" w:cs="Arial"/>
              </w:rPr>
            </w:pPr>
            <w:r w:rsidRPr="00E461B3">
              <w:rPr>
                <w:rFonts w:ascii="Arial" w:hAnsi="Arial" w:cs="Arial"/>
              </w:rPr>
              <w:t xml:space="preserve">Test transactions to determine whether non-title insurance rates for services provided by the Company agree with the Company’s established rates.  </w:t>
            </w:r>
          </w:p>
          <w:p w:rsidR="00FF4B2E" w:rsidRPr="00E461B3" w:rsidRDefault="00FF4B2E" w:rsidP="00FF4B2E">
            <w:pPr>
              <w:numPr>
                <w:ilvl w:val="0"/>
                <w:numId w:val="10"/>
              </w:numPr>
              <w:autoSpaceDE w:val="0"/>
              <w:autoSpaceDN w:val="0"/>
              <w:adjustRightInd w:val="0"/>
              <w:spacing w:before="120" w:after="120" w:line="240" w:lineRule="auto"/>
              <w:rPr>
                <w:rFonts w:ascii="Arial" w:hAnsi="Arial" w:cs="Arial"/>
              </w:rPr>
            </w:pPr>
            <w:r w:rsidRPr="00E461B3">
              <w:rPr>
                <w:rFonts w:ascii="Arial" w:hAnsi="Arial" w:cs="Arial"/>
              </w:rPr>
              <w:t xml:space="preserve">Document the Company’s quality review process to ensure compliance with underwriter </w:t>
            </w:r>
            <w:r>
              <w:rPr>
                <w:rFonts w:ascii="Arial" w:hAnsi="Arial" w:cs="Arial"/>
              </w:rPr>
              <w:t xml:space="preserve">and/or agent established rates </w:t>
            </w:r>
            <w:r w:rsidRPr="00E461B3">
              <w:rPr>
                <w:rFonts w:ascii="Arial" w:hAnsi="Arial" w:cs="Arial"/>
              </w:rPr>
              <w:t xml:space="preserve">as determined by state law and where overpayment occurred, that refunds are issued upon discovery.  </w:t>
            </w:r>
          </w:p>
        </w:tc>
        <w:tc>
          <w:tcPr>
            <w:tcW w:w="2880" w:type="dxa"/>
            <w:vAlign w:val="center"/>
          </w:tcPr>
          <w:p w:rsidR="00FF4B2E" w:rsidRPr="00E461B3" w:rsidRDefault="00FF4B2E" w:rsidP="00C62772">
            <w:pPr>
              <w:jc w:val="center"/>
              <w:rPr>
                <w:rFonts w:ascii="Arial" w:hAnsi="Arial" w:cs="Arial"/>
              </w:rPr>
            </w:pPr>
            <w:r w:rsidRPr="00E461B3">
              <w:rPr>
                <w:rFonts w:ascii="Arial" w:hAnsi="Arial" w:cs="Arial"/>
              </w:rPr>
              <w:t>PASS / FAIL</w:t>
            </w:r>
          </w:p>
          <w:p w:rsidR="00FF4B2E" w:rsidRPr="00E461B3" w:rsidRDefault="00FF4B2E" w:rsidP="00C62772">
            <w:pPr>
              <w:jc w:val="center"/>
              <w:rPr>
                <w:rFonts w:ascii="Arial" w:hAnsi="Arial" w:cs="Arial"/>
              </w:rPr>
            </w:pPr>
            <w:r w:rsidRPr="00E461B3">
              <w:rPr>
                <w:rFonts w:ascii="Arial" w:hAnsi="Arial" w:cs="Arial"/>
              </w:rPr>
              <w:t xml:space="preserve">If 10% or more of items tested for any sub-procedure FAIL,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3 FAILS.</w:t>
            </w:r>
          </w:p>
          <w:p w:rsidR="00FF4B2E" w:rsidRPr="00E461B3" w:rsidRDefault="00FF4B2E" w:rsidP="00C62772">
            <w:pPr>
              <w:jc w:val="center"/>
              <w:rPr>
                <w:rFonts w:ascii="Arial" w:hAnsi="Arial" w:cs="Arial"/>
              </w:rPr>
            </w:pPr>
          </w:p>
        </w:tc>
      </w:tr>
    </w:tbl>
    <w:p w:rsidR="0063764C" w:rsidRPr="00125451" w:rsidRDefault="0063764C">
      <w:pPr>
        <w:rPr>
          <w:rStyle w:val="subheading1"/>
          <w:color w:val="auto"/>
        </w:rPr>
      </w:pPr>
    </w:p>
    <w:sectPr w:rsidR="0063764C" w:rsidRPr="00125451" w:rsidSect="000A3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4B3"/>
    <w:multiLevelType w:val="hybridMultilevel"/>
    <w:tmpl w:val="B73CEB4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64B56D3"/>
    <w:multiLevelType w:val="hybridMultilevel"/>
    <w:tmpl w:val="5FA2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C13B58"/>
    <w:multiLevelType w:val="hybridMultilevel"/>
    <w:tmpl w:val="A070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23415"/>
    <w:multiLevelType w:val="hybridMultilevel"/>
    <w:tmpl w:val="9A38CAE4"/>
    <w:lvl w:ilvl="0" w:tplc="F7FC227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7F4295A"/>
    <w:multiLevelType w:val="hybridMultilevel"/>
    <w:tmpl w:val="A18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23CD9"/>
    <w:multiLevelType w:val="hybridMultilevel"/>
    <w:tmpl w:val="E12E417E"/>
    <w:lvl w:ilvl="0" w:tplc="04090019">
      <w:start w:val="1"/>
      <w:numFmt w:val="lowerLetter"/>
      <w:lvlText w:val="%1."/>
      <w:lvlJc w:val="left"/>
      <w:pPr>
        <w:tabs>
          <w:tab w:val="num" w:pos="720"/>
        </w:tabs>
        <w:ind w:left="720" w:hanging="360"/>
      </w:pPr>
      <w:rPr>
        <w:rFonts w:cs="Times New Roman"/>
      </w:rPr>
    </w:lvl>
    <w:lvl w:ilvl="1" w:tplc="19B0BC3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DE786B"/>
    <w:multiLevelType w:val="hybridMultilevel"/>
    <w:tmpl w:val="DAA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E56839"/>
    <w:multiLevelType w:val="hybridMultilevel"/>
    <w:tmpl w:val="7D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
  </w:num>
  <w:num w:numId="6">
    <w:abstractNumId w:val="8"/>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A"/>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A3ECA"/>
    <w:rsid w:val="000B1DD1"/>
    <w:rsid w:val="000D1332"/>
    <w:rsid w:val="000E178E"/>
    <w:rsid w:val="000E1E9C"/>
    <w:rsid w:val="000E7C64"/>
    <w:rsid w:val="000F0203"/>
    <w:rsid w:val="000F34EC"/>
    <w:rsid w:val="000F57CC"/>
    <w:rsid w:val="0010008A"/>
    <w:rsid w:val="00102E82"/>
    <w:rsid w:val="00113F33"/>
    <w:rsid w:val="00114F64"/>
    <w:rsid w:val="0012371D"/>
    <w:rsid w:val="00125451"/>
    <w:rsid w:val="00126873"/>
    <w:rsid w:val="00132C7E"/>
    <w:rsid w:val="0013533A"/>
    <w:rsid w:val="00136FE5"/>
    <w:rsid w:val="0016013F"/>
    <w:rsid w:val="001718E4"/>
    <w:rsid w:val="0017410D"/>
    <w:rsid w:val="0018007A"/>
    <w:rsid w:val="00191E29"/>
    <w:rsid w:val="001B3BB3"/>
    <w:rsid w:val="001C15B4"/>
    <w:rsid w:val="001C2B16"/>
    <w:rsid w:val="001C465A"/>
    <w:rsid w:val="001C6347"/>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3764C"/>
    <w:rsid w:val="00645C67"/>
    <w:rsid w:val="00650711"/>
    <w:rsid w:val="00654696"/>
    <w:rsid w:val="006563EF"/>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51B87"/>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A6080"/>
    <w:rsid w:val="00FB1A70"/>
    <w:rsid w:val="00FB33F2"/>
    <w:rsid w:val="00FC0B76"/>
    <w:rsid w:val="00FC0DD6"/>
    <w:rsid w:val="00FD10E3"/>
    <w:rsid w:val="00FD18DC"/>
    <w:rsid w:val="00FD4FE8"/>
    <w:rsid w:val="00FE23CC"/>
    <w:rsid w:val="00FF0666"/>
    <w:rsid w:val="00FF2926"/>
    <w:rsid w:val="00FF4B2E"/>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 w:type="paragraph" w:customStyle="1" w:styleId="columnhead">
    <w:name w:val="column head"/>
    <w:uiPriority w:val="99"/>
    <w:rsid w:val="00FF4B2E"/>
    <w:pPr>
      <w:spacing w:before="48" w:after="48" w:line="240" w:lineRule="auto"/>
      <w:jc w:val="center"/>
    </w:pPr>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 w:type="paragraph" w:customStyle="1" w:styleId="columnhead">
    <w:name w:val="column head"/>
    <w:uiPriority w:val="99"/>
    <w:rsid w:val="00FF4B2E"/>
    <w:pPr>
      <w:spacing w:before="48" w:after="48" w:line="240" w:lineRule="auto"/>
      <w:jc w:val="center"/>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2014-03-17T02:01:00Z</dcterms:created>
  <dcterms:modified xsi:type="dcterms:W3CDTF">2014-03-17T02:02:00Z</dcterms:modified>
</cp:coreProperties>
</file>